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615" w:rsidRPr="00573509" w:rsidRDefault="00806615" w:rsidP="00806615">
      <w:pPr>
        <w:widowControl w:val="0"/>
        <w:spacing w:before="0"/>
        <w:rPr>
          <w:rFonts w:ascii="Arial Narrow" w:hAnsi="Arial Narrow"/>
          <w:sz w:val="22"/>
          <w:szCs w:val="22"/>
        </w:rPr>
      </w:pPr>
      <w:bookmarkStart w:id="0" w:name="_GoBack"/>
      <w:bookmarkEnd w:id="0"/>
    </w:p>
    <w:p w:rsidR="00806615" w:rsidRPr="000A7EAA" w:rsidRDefault="00806615" w:rsidP="00806615">
      <w:pPr>
        <w:widowControl w:val="0"/>
        <w:spacing w:before="0"/>
        <w:rPr>
          <w:sz w:val="21"/>
          <w:szCs w:val="21"/>
        </w:rPr>
      </w:pPr>
    </w:p>
    <w:tbl>
      <w:tblPr>
        <w:tblStyle w:val="TableGrid17"/>
        <w:tblpPr w:leftFromText="180" w:rightFromText="180" w:vertAnchor="text" w:tblpX="-216" w:tblpY="1"/>
        <w:tblOverlap w:val="never"/>
        <w:tblW w:w="10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268"/>
        <w:gridCol w:w="7388"/>
      </w:tblGrid>
      <w:tr w:rsidR="00806615" w:rsidRPr="000A7EAA" w:rsidTr="00573509">
        <w:trPr>
          <w:trHeight w:val="8910"/>
        </w:trPr>
        <w:tc>
          <w:tcPr>
            <w:tcW w:w="2988" w:type="dxa"/>
            <w:tcBorders>
              <w:right w:val="single" w:sz="24" w:space="0" w:color="FF8200"/>
            </w:tcBorders>
          </w:tcPr>
          <w:p w:rsidR="00806615" w:rsidRPr="000A7EAA" w:rsidRDefault="00806615" w:rsidP="00573509">
            <w:pPr>
              <w:spacing w:before="0" w:line="240" w:lineRule="atLeast"/>
              <w:rPr>
                <w:b/>
                <w:sz w:val="21"/>
                <w:szCs w:val="21"/>
              </w:rPr>
            </w:pPr>
            <w:r w:rsidRPr="000A7EAA">
              <w:rPr>
                <w:noProof/>
                <w:sz w:val="21"/>
                <w:szCs w:val="21"/>
              </w:rPr>
              <w:drawing>
                <wp:inline distT="0" distB="0" distL="0" distR="0" wp14:anchorId="11D7D57C" wp14:editId="2025B909">
                  <wp:extent cx="1903022" cy="2377440"/>
                  <wp:effectExtent l="0" t="0" r="2540" b="3810"/>
                  <wp:docPr id="26" name="Picture 26" descr="I:\Marketing\Headshots\2017 Officers and Managers\Ted Ho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rketing\Headshots\2017 Officers and Managers\Ted Hotz.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3022" cy="2377440"/>
                          </a:xfrm>
                          <a:prstGeom prst="rect">
                            <a:avLst/>
                          </a:prstGeom>
                          <a:noFill/>
                          <a:ln>
                            <a:noFill/>
                          </a:ln>
                        </pic:spPr>
                      </pic:pic>
                    </a:graphicData>
                  </a:graphic>
                </wp:inline>
              </w:drawing>
            </w:r>
          </w:p>
          <w:p w:rsidR="00806615" w:rsidRPr="000A7EAA" w:rsidRDefault="00806615" w:rsidP="00573509">
            <w:pPr>
              <w:spacing w:before="0"/>
              <w:rPr>
                <w:b/>
                <w:sz w:val="21"/>
                <w:szCs w:val="21"/>
              </w:rPr>
            </w:pPr>
          </w:p>
          <w:p w:rsidR="00806615" w:rsidRPr="00573509" w:rsidRDefault="00806615" w:rsidP="00573509">
            <w:pPr>
              <w:spacing w:before="0" w:line="240" w:lineRule="atLeast"/>
              <w:rPr>
                <w:rFonts w:ascii="Arial Narrow" w:hAnsi="Arial Narrow"/>
                <w:b/>
                <w:sz w:val="22"/>
                <w:szCs w:val="22"/>
              </w:rPr>
            </w:pPr>
            <w:r w:rsidRPr="00573509">
              <w:rPr>
                <w:rFonts w:ascii="Arial Narrow" w:hAnsi="Arial Narrow"/>
                <w:b/>
                <w:sz w:val="22"/>
                <w:szCs w:val="22"/>
              </w:rPr>
              <w:t>A. Ted Hotz, CPA</w:t>
            </w:r>
          </w:p>
          <w:p w:rsidR="00806615" w:rsidRPr="00573509" w:rsidRDefault="00806615" w:rsidP="00573509">
            <w:pPr>
              <w:spacing w:before="0" w:line="240" w:lineRule="atLeast"/>
              <w:rPr>
                <w:rFonts w:ascii="Arial Narrow" w:hAnsi="Arial Narrow"/>
                <w:i/>
                <w:sz w:val="22"/>
                <w:szCs w:val="22"/>
              </w:rPr>
            </w:pPr>
            <w:r w:rsidRPr="00573509">
              <w:rPr>
                <w:rFonts w:ascii="Arial Narrow" w:hAnsi="Arial Narrow"/>
                <w:i/>
                <w:sz w:val="22"/>
                <w:szCs w:val="22"/>
              </w:rPr>
              <w:t>Officer</w:t>
            </w:r>
          </w:p>
          <w:p w:rsidR="00806615" w:rsidRPr="00573509" w:rsidRDefault="00806615" w:rsidP="00573509">
            <w:pPr>
              <w:spacing w:before="0" w:line="240" w:lineRule="atLeast"/>
              <w:rPr>
                <w:rFonts w:ascii="Arial Narrow" w:hAnsi="Arial Narrow"/>
                <w:i/>
                <w:sz w:val="22"/>
                <w:szCs w:val="22"/>
              </w:rPr>
            </w:pPr>
            <w:r w:rsidRPr="00573509">
              <w:rPr>
                <w:rFonts w:ascii="Arial Narrow" w:hAnsi="Arial Narrow"/>
                <w:i/>
                <w:sz w:val="22"/>
                <w:szCs w:val="22"/>
              </w:rPr>
              <w:t>Audit, Accounting and Advisory Services</w:t>
            </w:r>
          </w:p>
          <w:p w:rsidR="00806615" w:rsidRPr="00573509" w:rsidRDefault="00806615" w:rsidP="00573509">
            <w:pPr>
              <w:spacing w:before="0" w:line="240" w:lineRule="atLeast"/>
              <w:rPr>
                <w:rFonts w:ascii="Arial Narrow" w:hAnsi="Arial Narrow"/>
                <w:i/>
                <w:sz w:val="22"/>
                <w:szCs w:val="22"/>
              </w:rPr>
            </w:pPr>
          </w:p>
          <w:p w:rsidR="00806615" w:rsidRPr="00573509" w:rsidRDefault="00806615" w:rsidP="00573509">
            <w:pPr>
              <w:spacing w:before="0" w:line="240" w:lineRule="atLeast"/>
              <w:rPr>
                <w:rFonts w:ascii="Arial Narrow" w:hAnsi="Arial Narrow"/>
                <w:i/>
                <w:sz w:val="22"/>
                <w:szCs w:val="22"/>
              </w:rPr>
            </w:pPr>
          </w:p>
          <w:p w:rsidR="00806615" w:rsidRPr="00573509" w:rsidRDefault="00806615" w:rsidP="00573509">
            <w:pPr>
              <w:spacing w:before="0" w:line="240" w:lineRule="atLeast"/>
              <w:rPr>
                <w:rFonts w:ascii="Arial Narrow" w:hAnsi="Arial Narrow"/>
                <w:sz w:val="22"/>
                <w:szCs w:val="22"/>
              </w:rPr>
            </w:pPr>
            <w:r w:rsidRPr="00573509">
              <w:rPr>
                <w:rFonts w:ascii="Arial Narrow" w:hAnsi="Arial Narrow"/>
                <w:sz w:val="22"/>
                <w:szCs w:val="22"/>
              </w:rPr>
              <w:t>Main:</w:t>
            </w:r>
            <w:r w:rsidRPr="00573509">
              <w:rPr>
                <w:rFonts w:ascii="Arial Narrow" w:hAnsi="Arial Narrow"/>
                <w:sz w:val="22"/>
                <w:szCs w:val="22"/>
              </w:rPr>
              <w:tab/>
              <w:t>(865) 769-0660</w:t>
            </w:r>
          </w:p>
          <w:p w:rsidR="00806615" w:rsidRPr="00573509" w:rsidRDefault="00806615" w:rsidP="00573509">
            <w:pPr>
              <w:spacing w:before="0" w:line="240" w:lineRule="atLeast"/>
              <w:rPr>
                <w:rFonts w:ascii="Arial Narrow" w:hAnsi="Arial Narrow"/>
                <w:sz w:val="22"/>
                <w:szCs w:val="22"/>
              </w:rPr>
            </w:pPr>
            <w:r w:rsidRPr="00573509">
              <w:rPr>
                <w:rFonts w:ascii="Arial Narrow" w:hAnsi="Arial Narrow"/>
                <w:sz w:val="22"/>
                <w:szCs w:val="22"/>
              </w:rPr>
              <w:t>Office:</w:t>
            </w:r>
            <w:r w:rsidRPr="00573509">
              <w:rPr>
                <w:rFonts w:ascii="Arial Narrow" w:hAnsi="Arial Narrow"/>
                <w:sz w:val="22"/>
                <w:szCs w:val="22"/>
              </w:rPr>
              <w:tab/>
              <w:t>(865) 769-1655</w:t>
            </w:r>
          </w:p>
          <w:p w:rsidR="00806615" w:rsidRPr="00573509" w:rsidRDefault="00806615" w:rsidP="00573509">
            <w:pPr>
              <w:spacing w:before="0" w:line="240" w:lineRule="atLeast"/>
              <w:rPr>
                <w:rFonts w:ascii="Arial Narrow" w:hAnsi="Arial Narrow"/>
                <w:sz w:val="22"/>
                <w:szCs w:val="22"/>
              </w:rPr>
            </w:pPr>
            <w:r w:rsidRPr="00573509">
              <w:rPr>
                <w:rFonts w:ascii="Arial Narrow" w:hAnsi="Arial Narrow"/>
                <w:sz w:val="22"/>
                <w:szCs w:val="22"/>
              </w:rPr>
              <w:t>Fax:</w:t>
            </w:r>
            <w:r w:rsidRPr="00573509">
              <w:rPr>
                <w:rFonts w:ascii="Arial Narrow" w:hAnsi="Arial Narrow"/>
                <w:sz w:val="22"/>
                <w:szCs w:val="22"/>
              </w:rPr>
              <w:tab/>
              <w:t>(865) 769-1660</w:t>
            </w:r>
          </w:p>
          <w:p w:rsidR="00806615" w:rsidRPr="00573509" w:rsidRDefault="00806615" w:rsidP="00573509">
            <w:pPr>
              <w:spacing w:before="0" w:line="240" w:lineRule="atLeast"/>
              <w:rPr>
                <w:rFonts w:ascii="Arial Narrow" w:hAnsi="Arial Narrow"/>
                <w:b/>
                <w:color w:val="002060"/>
                <w:sz w:val="22"/>
                <w:szCs w:val="22"/>
              </w:rPr>
            </w:pPr>
            <w:r w:rsidRPr="00573509">
              <w:rPr>
                <w:rFonts w:ascii="Arial Narrow" w:hAnsi="Arial Narrow"/>
                <w:sz w:val="22"/>
                <w:szCs w:val="22"/>
              </w:rPr>
              <w:t>E-Mail:</w:t>
            </w:r>
            <w:r w:rsidRPr="00573509">
              <w:rPr>
                <w:rFonts w:ascii="Arial Narrow" w:hAnsi="Arial Narrow"/>
                <w:sz w:val="22"/>
                <w:szCs w:val="22"/>
              </w:rPr>
              <w:tab/>
              <w:t>thotz@pughcpas.com</w:t>
            </w:r>
          </w:p>
          <w:p w:rsidR="00806615" w:rsidRPr="00573509" w:rsidRDefault="00806615" w:rsidP="00573509">
            <w:pPr>
              <w:spacing w:before="0"/>
              <w:rPr>
                <w:rFonts w:ascii="Arial Narrow" w:hAnsi="Arial Narrow"/>
                <w:color w:val="002060"/>
                <w:sz w:val="22"/>
                <w:szCs w:val="22"/>
              </w:rPr>
            </w:pPr>
          </w:p>
          <w:p w:rsidR="00806615" w:rsidRPr="000A7EAA" w:rsidRDefault="00806615" w:rsidP="00573509">
            <w:pPr>
              <w:spacing w:before="0"/>
              <w:rPr>
                <w:color w:val="002060"/>
                <w:sz w:val="21"/>
                <w:szCs w:val="21"/>
              </w:rPr>
            </w:pPr>
          </w:p>
          <w:p w:rsidR="00806615" w:rsidRPr="000A7EAA" w:rsidRDefault="00806615" w:rsidP="00573509">
            <w:pPr>
              <w:spacing w:before="0"/>
              <w:rPr>
                <w:color w:val="002060"/>
                <w:sz w:val="21"/>
                <w:szCs w:val="21"/>
              </w:rPr>
            </w:pPr>
          </w:p>
          <w:p w:rsidR="00806615" w:rsidRPr="000A7EAA" w:rsidRDefault="00806615" w:rsidP="00573509">
            <w:pPr>
              <w:spacing w:before="0"/>
              <w:rPr>
                <w:color w:val="002060"/>
                <w:sz w:val="21"/>
                <w:szCs w:val="21"/>
              </w:rPr>
            </w:pPr>
          </w:p>
          <w:p w:rsidR="00806615" w:rsidRPr="000A7EAA" w:rsidRDefault="00806615" w:rsidP="00573509">
            <w:pPr>
              <w:spacing w:before="0"/>
              <w:rPr>
                <w:color w:val="002060"/>
                <w:sz w:val="21"/>
                <w:szCs w:val="21"/>
              </w:rPr>
            </w:pPr>
          </w:p>
          <w:p w:rsidR="00806615" w:rsidRPr="000A7EAA" w:rsidRDefault="00806615" w:rsidP="00573509">
            <w:pPr>
              <w:spacing w:before="0"/>
              <w:rPr>
                <w:color w:val="002060"/>
                <w:sz w:val="21"/>
                <w:szCs w:val="21"/>
              </w:rPr>
            </w:pPr>
          </w:p>
          <w:p w:rsidR="00806615" w:rsidRDefault="00806615" w:rsidP="00573509">
            <w:pPr>
              <w:spacing w:before="0"/>
              <w:rPr>
                <w:color w:val="002060"/>
                <w:sz w:val="21"/>
                <w:szCs w:val="21"/>
              </w:rPr>
            </w:pPr>
          </w:p>
          <w:p w:rsidR="00806615" w:rsidRDefault="00806615" w:rsidP="00573509">
            <w:pPr>
              <w:spacing w:before="0"/>
              <w:rPr>
                <w:color w:val="002060"/>
                <w:sz w:val="21"/>
                <w:szCs w:val="21"/>
              </w:rPr>
            </w:pPr>
          </w:p>
          <w:p w:rsidR="00806615" w:rsidRDefault="00806615" w:rsidP="00573509">
            <w:pPr>
              <w:spacing w:before="0"/>
              <w:rPr>
                <w:color w:val="002060"/>
                <w:sz w:val="21"/>
                <w:szCs w:val="21"/>
              </w:rPr>
            </w:pPr>
          </w:p>
          <w:p w:rsidR="00806615" w:rsidRDefault="00806615" w:rsidP="00573509">
            <w:pPr>
              <w:spacing w:before="0"/>
              <w:rPr>
                <w:color w:val="002060"/>
                <w:sz w:val="21"/>
                <w:szCs w:val="21"/>
              </w:rPr>
            </w:pPr>
          </w:p>
          <w:p w:rsidR="00806615" w:rsidRDefault="00806615" w:rsidP="00573509">
            <w:pPr>
              <w:spacing w:before="0"/>
              <w:rPr>
                <w:color w:val="002060"/>
                <w:sz w:val="21"/>
                <w:szCs w:val="21"/>
              </w:rPr>
            </w:pPr>
          </w:p>
          <w:p w:rsidR="00806615" w:rsidRDefault="00806615" w:rsidP="00573509">
            <w:pPr>
              <w:spacing w:before="0"/>
              <w:rPr>
                <w:color w:val="002060"/>
                <w:sz w:val="21"/>
                <w:szCs w:val="21"/>
              </w:rPr>
            </w:pPr>
          </w:p>
          <w:p w:rsidR="00806615" w:rsidRDefault="00806615" w:rsidP="00573509">
            <w:pPr>
              <w:spacing w:before="0"/>
              <w:rPr>
                <w:color w:val="002060"/>
                <w:sz w:val="21"/>
                <w:szCs w:val="21"/>
              </w:rPr>
            </w:pPr>
          </w:p>
          <w:p w:rsidR="00806615" w:rsidRPr="000A7EAA" w:rsidRDefault="00806615" w:rsidP="00573509">
            <w:pPr>
              <w:spacing w:before="0"/>
              <w:rPr>
                <w:color w:val="002060"/>
                <w:sz w:val="21"/>
                <w:szCs w:val="21"/>
              </w:rPr>
            </w:pPr>
          </w:p>
          <w:p w:rsidR="00806615" w:rsidRPr="000A7EAA" w:rsidRDefault="00806615" w:rsidP="00573509">
            <w:pPr>
              <w:spacing w:before="0"/>
              <w:rPr>
                <w:color w:val="002060"/>
                <w:sz w:val="21"/>
                <w:szCs w:val="21"/>
              </w:rPr>
            </w:pPr>
          </w:p>
          <w:p w:rsidR="00806615" w:rsidRPr="000A7EAA" w:rsidRDefault="00806615" w:rsidP="00573509">
            <w:pPr>
              <w:spacing w:before="0"/>
              <w:rPr>
                <w:color w:val="002060"/>
                <w:sz w:val="21"/>
                <w:szCs w:val="21"/>
              </w:rPr>
            </w:pPr>
          </w:p>
          <w:p w:rsidR="00806615" w:rsidRPr="000A7EAA" w:rsidRDefault="00806615" w:rsidP="00573509">
            <w:pPr>
              <w:spacing w:before="0"/>
              <w:rPr>
                <w:b/>
                <w:color w:val="002060"/>
                <w:sz w:val="21"/>
                <w:szCs w:val="21"/>
              </w:rPr>
            </w:pPr>
            <w:r w:rsidRPr="000A7EAA">
              <w:rPr>
                <w:noProof/>
                <w:sz w:val="21"/>
                <w:szCs w:val="21"/>
              </w:rPr>
              <w:drawing>
                <wp:inline distT="0" distB="0" distL="0" distR="0" wp14:anchorId="62385094" wp14:editId="25783474">
                  <wp:extent cx="1600200" cy="56732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gh2colorHoriz"/>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00200" cy="567327"/>
                          </a:xfrm>
                          <a:prstGeom prst="rect">
                            <a:avLst/>
                          </a:prstGeom>
                          <a:noFill/>
                          <a:ln>
                            <a:noFill/>
                          </a:ln>
                        </pic:spPr>
                      </pic:pic>
                    </a:graphicData>
                  </a:graphic>
                </wp:inline>
              </w:drawing>
            </w:r>
          </w:p>
        </w:tc>
        <w:tc>
          <w:tcPr>
            <w:tcW w:w="270" w:type="dxa"/>
            <w:tcBorders>
              <w:left w:val="single" w:sz="24" w:space="0" w:color="FF8200"/>
            </w:tcBorders>
          </w:tcPr>
          <w:p w:rsidR="00806615" w:rsidRPr="000A7EAA" w:rsidRDefault="00806615" w:rsidP="00573509">
            <w:pPr>
              <w:spacing w:before="0" w:after="240"/>
              <w:rPr>
                <w:b/>
                <w:color w:val="002060"/>
                <w:sz w:val="21"/>
                <w:szCs w:val="21"/>
              </w:rPr>
            </w:pPr>
          </w:p>
        </w:tc>
        <w:tc>
          <w:tcPr>
            <w:tcW w:w="7614" w:type="dxa"/>
          </w:tcPr>
          <w:p w:rsidR="00806615" w:rsidRPr="00573509" w:rsidRDefault="00806615" w:rsidP="00573509">
            <w:pPr>
              <w:spacing w:before="0" w:line="240" w:lineRule="atLeast"/>
              <w:rPr>
                <w:rFonts w:ascii="Arial Narrow" w:hAnsi="Arial Narrow"/>
                <w:b/>
                <w:color w:val="002060"/>
                <w:sz w:val="22"/>
                <w:szCs w:val="22"/>
              </w:rPr>
            </w:pPr>
            <w:r w:rsidRPr="00573509">
              <w:rPr>
                <w:rFonts w:ascii="Arial Narrow" w:hAnsi="Arial Narrow"/>
                <w:b/>
                <w:color w:val="002060"/>
                <w:sz w:val="22"/>
                <w:szCs w:val="22"/>
              </w:rPr>
              <w:t>Profile</w:t>
            </w:r>
          </w:p>
          <w:p w:rsidR="00806615" w:rsidRPr="00573509" w:rsidRDefault="00806615" w:rsidP="00573509">
            <w:pPr>
              <w:spacing w:before="0" w:line="240" w:lineRule="atLeast"/>
              <w:rPr>
                <w:rFonts w:ascii="Arial Narrow" w:hAnsi="Arial Narrow"/>
                <w:color w:val="002060"/>
                <w:sz w:val="22"/>
                <w:szCs w:val="22"/>
              </w:rPr>
            </w:pPr>
          </w:p>
          <w:p w:rsidR="00806615" w:rsidRPr="00573509" w:rsidRDefault="00806615" w:rsidP="00573509">
            <w:pPr>
              <w:spacing w:before="0" w:line="240" w:lineRule="atLeast"/>
              <w:rPr>
                <w:rFonts w:ascii="Arial Narrow" w:hAnsi="Arial Narrow"/>
                <w:sz w:val="22"/>
                <w:szCs w:val="22"/>
              </w:rPr>
            </w:pPr>
            <w:r w:rsidRPr="00573509">
              <w:rPr>
                <w:rFonts w:ascii="Arial Narrow" w:hAnsi="Arial Narrow"/>
                <w:sz w:val="22"/>
                <w:szCs w:val="22"/>
              </w:rPr>
              <w:t xml:space="preserve">Ted </w:t>
            </w:r>
            <w:proofErr w:type="gramStart"/>
            <w:r w:rsidRPr="00573509">
              <w:rPr>
                <w:rFonts w:ascii="Arial Narrow" w:hAnsi="Arial Narrow"/>
                <w:sz w:val="22"/>
                <w:szCs w:val="22"/>
              </w:rPr>
              <w:t>Hotz,</w:t>
            </w:r>
            <w:proofErr w:type="gramEnd"/>
            <w:r w:rsidRPr="00573509">
              <w:rPr>
                <w:rFonts w:ascii="Arial Narrow" w:hAnsi="Arial Narrow"/>
                <w:sz w:val="22"/>
                <w:szCs w:val="22"/>
              </w:rPr>
              <w:t xml:space="preserve"> is an officer in the Audit, Accounting and Advisory Services Department.  He has been in public practice in North Carolina and Tennessee</w:t>
            </w:r>
            <w:r w:rsidR="007C49A2">
              <w:rPr>
                <w:rFonts w:ascii="Arial Narrow" w:hAnsi="Arial Narrow"/>
                <w:sz w:val="22"/>
                <w:szCs w:val="22"/>
              </w:rPr>
              <w:t xml:space="preserve"> since 1986</w:t>
            </w:r>
            <w:r w:rsidRPr="00573509">
              <w:rPr>
                <w:rFonts w:ascii="Arial Narrow" w:hAnsi="Arial Narrow"/>
                <w:sz w:val="22"/>
                <w:szCs w:val="22"/>
              </w:rPr>
              <w:t xml:space="preserve">. He has worked in many areas of accounting, auditing, and advisory services including </w:t>
            </w:r>
            <w:r w:rsidR="007C49A2">
              <w:rPr>
                <w:rFonts w:ascii="Arial Narrow" w:hAnsi="Arial Narrow"/>
                <w:sz w:val="22"/>
                <w:szCs w:val="22"/>
              </w:rPr>
              <w:t xml:space="preserve">employee benefit plans, </w:t>
            </w:r>
            <w:r w:rsidRPr="00573509">
              <w:rPr>
                <w:rFonts w:ascii="Arial Narrow" w:hAnsi="Arial Narrow"/>
                <w:sz w:val="22"/>
                <w:szCs w:val="22"/>
              </w:rPr>
              <w:t>governmental entities, not-for-profit entities, government contractors, and various commercial entities.</w:t>
            </w:r>
          </w:p>
          <w:p w:rsidR="00806615" w:rsidRPr="00573509" w:rsidRDefault="00806615" w:rsidP="00573509">
            <w:pPr>
              <w:spacing w:before="0" w:line="240" w:lineRule="atLeast"/>
              <w:rPr>
                <w:rFonts w:ascii="Arial Narrow" w:hAnsi="Arial Narrow"/>
                <w:color w:val="002060"/>
                <w:sz w:val="22"/>
                <w:szCs w:val="22"/>
              </w:rPr>
            </w:pPr>
          </w:p>
          <w:p w:rsidR="00806615" w:rsidRPr="00573509" w:rsidRDefault="00806615" w:rsidP="00573509">
            <w:pPr>
              <w:spacing w:before="0" w:line="240" w:lineRule="atLeast"/>
              <w:rPr>
                <w:rFonts w:ascii="Arial Narrow" w:hAnsi="Arial Narrow"/>
                <w:b/>
                <w:color w:val="002060"/>
                <w:sz w:val="22"/>
                <w:szCs w:val="22"/>
              </w:rPr>
            </w:pPr>
            <w:r w:rsidRPr="00573509">
              <w:rPr>
                <w:rFonts w:ascii="Arial Narrow" w:hAnsi="Arial Narrow"/>
                <w:b/>
                <w:color w:val="002060"/>
                <w:sz w:val="22"/>
                <w:szCs w:val="22"/>
              </w:rPr>
              <w:t>Education</w:t>
            </w:r>
          </w:p>
          <w:p w:rsidR="00806615" w:rsidRPr="00573509" w:rsidRDefault="00806615" w:rsidP="00573509">
            <w:pPr>
              <w:spacing w:before="0" w:line="240" w:lineRule="atLeast"/>
              <w:rPr>
                <w:rFonts w:ascii="Arial Narrow" w:hAnsi="Arial Narrow"/>
                <w:color w:val="002060"/>
                <w:sz w:val="22"/>
                <w:szCs w:val="22"/>
              </w:rPr>
            </w:pPr>
          </w:p>
          <w:p w:rsidR="00806615" w:rsidRPr="00573509" w:rsidRDefault="00806615" w:rsidP="00573509">
            <w:pPr>
              <w:spacing w:before="0" w:line="240" w:lineRule="atLeast"/>
              <w:rPr>
                <w:rFonts w:ascii="Arial Narrow" w:hAnsi="Arial Narrow"/>
                <w:sz w:val="22"/>
                <w:szCs w:val="22"/>
              </w:rPr>
            </w:pPr>
            <w:r w:rsidRPr="00573509">
              <w:rPr>
                <w:rFonts w:ascii="Arial Narrow" w:hAnsi="Arial Narrow"/>
                <w:sz w:val="22"/>
                <w:szCs w:val="22"/>
              </w:rPr>
              <w:t>Ted graduated from Appalachian State University with a Bachelor of Science in Business Administration with a major in accounting.</w:t>
            </w:r>
          </w:p>
          <w:p w:rsidR="00806615" w:rsidRPr="00573509" w:rsidRDefault="00806615" w:rsidP="00573509">
            <w:pPr>
              <w:spacing w:before="0" w:line="240" w:lineRule="atLeast"/>
              <w:rPr>
                <w:rFonts w:ascii="Arial Narrow" w:hAnsi="Arial Narrow"/>
                <w:color w:val="002060"/>
                <w:sz w:val="22"/>
                <w:szCs w:val="22"/>
              </w:rPr>
            </w:pPr>
          </w:p>
          <w:p w:rsidR="00806615" w:rsidRPr="00573509" w:rsidRDefault="00806615" w:rsidP="00573509">
            <w:pPr>
              <w:spacing w:before="0" w:line="240" w:lineRule="atLeast"/>
              <w:rPr>
                <w:rFonts w:ascii="Arial Narrow" w:hAnsi="Arial Narrow"/>
                <w:b/>
                <w:color w:val="002060"/>
                <w:sz w:val="22"/>
                <w:szCs w:val="22"/>
              </w:rPr>
            </w:pPr>
            <w:r w:rsidRPr="00573509">
              <w:rPr>
                <w:rFonts w:ascii="Arial Narrow" w:hAnsi="Arial Narrow"/>
                <w:b/>
                <w:color w:val="002060"/>
                <w:sz w:val="22"/>
                <w:szCs w:val="22"/>
              </w:rPr>
              <w:t>Experience</w:t>
            </w:r>
          </w:p>
          <w:p w:rsidR="00806615" w:rsidRPr="00573509" w:rsidRDefault="00806615" w:rsidP="00573509">
            <w:pPr>
              <w:spacing w:before="0" w:line="240" w:lineRule="atLeast"/>
              <w:rPr>
                <w:rFonts w:ascii="Arial Narrow" w:hAnsi="Arial Narrow"/>
                <w:color w:val="002060"/>
                <w:sz w:val="22"/>
                <w:szCs w:val="22"/>
              </w:rPr>
            </w:pPr>
          </w:p>
          <w:p w:rsidR="00806615" w:rsidRPr="00573509" w:rsidRDefault="00806615" w:rsidP="00573509">
            <w:pPr>
              <w:spacing w:before="0" w:line="240" w:lineRule="atLeast"/>
              <w:rPr>
                <w:rFonts w:ascii="Arial Narrow" w:hAnsi="Arial Narrow"/>
                <w:sz w:val="22"/>
                <w:szCs w:val="22"/>
              </w:rPr>
            </w:pPr>
            <w:r w:rsidRPr="00573509">
              <w:rPr>
                <w:rFonts w:ascii="Arial Narrow" w:hAnsi="Arial Narrow"/>
                <w:sz w:val="22"/>
                <w:szCs w:val="22"/>
              </w:rPr>
              <w:t xml:space="preserve">His services include financial and compliance audits, review and compilation services, other attest functions (agreed-upon procedures engagements), management advisory services, tax planning and consulting, internal audit and compliance, fraud examinations, and strategic business planning.  Ted was a guest speaker at the 2018 Employee Benefit Seminar sponsored by </w:t>
            </w:r>
            <w:proofErr w:type="spellStart"/>
            <w:r w:rsidRPr="00573509">
              <w:rPr>
                <w:rFonts w:ascii="Arial Narrow" w:hAnsi="Arial Narrow"/>
                <w:sz w:val="22"/>
                <w:szCs w:val="22"/>
              </w:rPr>
              <w:t>Holifield</w:t>
            </w:r>
            <w:proofErr w:type="spellEnd"/>
            <w:r w:rsidRPr="00573509">
              <w:rPr>
                <w:rFonts w:ascii="Arial Narrow" w:hAnsi="Arial Narrow"/>
                <w:sz w:val="22"/>
                <w:szCs w:val="22"/>
              </w:rPr>
              <w:t xml:space="preserve"> </w:t>
            </w:r>
            <w:proofErr w:type="spellStart"/>
            <w:r w:rsidRPr="00573509">
              <w:rPr>
                <w:rFonts w:ascii="Arial Narrow" w:hAnsi="Arial Narrow"/>
                <w:sz w:val="22"/>
                <w:szCs w:val="22"/>
              </w:rPr>
              <w:t>Janich</w:t>
            </w:r>
            <w:proofErr w:type="spellEnd"/>
            <w:r w:rsidRPr="00573509">
              <w:rPr>
                <w:rFonts w:ascii="Arial Narrow" w:hAnsi="Arial Narrow"/>
                <w:sz w:val="22"/>
                <w:szCs w:val="22"/>
              </w:rPr>
              <w:t xml:space="preserve"> </w:t>
            </w:r>
            <w:proofErr w:type="spellStart"/>
            <w:r w:rsidRPr="00573509">
              <w:rPr>
                <w:rFonts w:ascii="Arial Narrow" w:hAnsi="Arial Narrow"/>
                <w:sz w:val="22"/>
                <w:szCs w:val="22"/>
              </w:rPr>
              <w:t>Rachal</w:t>
            </w:r>
            <w:proofErr w:type="spellEnd"/>
            <w:r w:rsidRPr="00573509">
              <w:rPr>
                <w:rFonts w:ascii="Arial Narrow" w:hAnsi="Arial Narrow"/>
                <w:sz w:val="22"/>
                <w:szCs w:val="22"/>
              </w:rPr>
              <w:t xml:space="preserve"> </w:t>
            </w:r>
            <w:proofErr w:type="spellStart"/>
            <w:r w:rsidRPr="00573509">
              <w:rPr>
                <w:rFonts w:ascii="Arial Narrow" w:hAnsi="Arial Narrow"/>
                <w:sz w:val="22"/>
                <w:szCs w:val="22"/>
              </w:rPr>
              <w:t>Ferrera</w:t>
            </w:r>
            <w:proofErr w:type="spellEnd"/>
            <w:r w:rsidRPr="00573509">
              <w:rPr>
                <w:rFonts w:ascii="Arial Narrow" w:hAnsi="Arial Narrow"/>
                <w:sz w:val="22"/>
                <w:szCs w:val="22"/>
              </w:rPr>
              <w:t xml:space="preserve"> </w:t>
            </w:r>
            <w:proofErr w:type="spellStart"/>
            <w:r w:rsidRPr="00573509">
              <w:rPr>
                <w:rFonts w:ascii="Arial Narrow" w:hAnsi="Arial Narrow"/>
                <w:sz w:val="22"/>
                <w:szCs w:val="22"/>
              </w:rPr>
              <w:t>PLLC</w:t>
            </w:r>
            <w:proofErr w:type="spellEnd"/>
            <w:r w:rsidRPr="00573509">
              <w:rPr>
                <w:rFonts w:ascii="Arial Narrow" w:hAnsi="Arial Narrow"/>
                <w:sz w:val="22"/>
                <w:szCs w:val="22"/>
              </w:rPr>
              <w:t xml:space="preserve">.  Ted has 30 </w:t>
            </w:r>
            <w:proofErr w:type="spellStart"/>
            <w:r w:rsidRPr="00573509">
              <w:rPr>
                <w:rFonts w:ascii="Arial Narrow" w:hAnsi="Arial Narrow"/>
                <w:sz w:val="22"/>
                <w:szCs w:val="22"/>
              </w:rPr>
              <w:t>years experience</w:t>
            </w:r>
            <w:proofErr w:type="spellEnd"/>
            <w:r w:rsidRPr="00573509">
              <w:rPr>
                <w:rFonts w:ascii="Arial Narrow" w:hAnsi="Arial Narrow"/>
                <w:sz w:val="22"/>
                <w:szCs w:val="22"/>
              </w:rPr>
              <w:t xml:space="preserve"> with benefit plan audits and currently serves as the Employee Benefit Plan audit leader for Pugh CPAs.</w:t>
            </w:r>
          </w:p>
          <w:p w:rsidR="00806615" w:rsidRPr="00573509" w:rsidRDefault="00806615" w:rsidP="00573509">
            <w:pPr>
              <w:spacing w:before="0" w:line="240" w:lineRule="atLeast"/>
              <w:rPr>
                <w:rFonts w:ascii="Arial Narrow" w:hAnsi="Arial Narrow"/>
                <w:color w:val="002060"/>
                <w:sz w:val="22"/>
                <w:szCs w:val="22"/>
              </w:rPr>
            </w:pPr>
          </w:p>
          <w:p w:rsidR="00806615" w:rsidRPr="00573509" w:rsidRDefault="00806615" w:rsidP="00573509">
            <w:pPr>
              <w:spacing w:before="0" w:line="240" w:lineRule="atLeast"/>
              <w:rPr>
                <w:rFonts w:ascii="Arial Narrow" w:hAnsi="Arial Narrow"/>
                <w:b/>
                <w:color w:val="002060"/>
                <w:sz w:val="22"/>
                <w:szCs w:val="22"/>
              </w:rPr>
            </w:pPr>
            <w:r w:rsidRPr="00573509">
              <w:rPr>
                <w:rFonts w:ascii="Arial Narrow" w:hAnsi="Arial Narrow"/>
                <w:b/>
                <w:color w:val="002060"/>
                <w:sz w:val="22"/>
                <w:szCs w:val="22"/>
              </w:rPr>
              <w:t>Professional, Civic and Other Affiliations</w:t>
            </w:r>
          </w:p>
          <w:p w:rsidR="00806615" w:rsidRPr="00573509" w:rsidRDefault="00806615" w:rsidP="00573509">
            <w:pPr>
              <w:spacing w:before="0" w:line="240" w:lineRule="atLeast"/>
              <w:rPr>
                <w:rFonts w:ascii="Arial Narrow" w:hAnsi="Arial Narrow"/>
                <w:color w:val="002060"/>
                <w:sz w:val="22"/>
                <w:szCs w:val="22"/>
              </w:rPr>
            </w:pPr>
          </w:p>
          <w:p w:rsidR="00806615" w:rsidRPr="00573509" w:rsidRDefault="00806615" w:rsidP="00573509">
            <w:pPr>
              <w:spacing w:before="0" w:line="240" w:lineRule="atLeast"/>
              <w:rPr>
                <w:rFonts w:ascii="Arial Narrow" w:hAnsi="Arial Narrow"/>
                <w:sz w:val="22"/>
                <w:szCs w:val="22"/>
              </w:rPr>
            </w:pPr>
            <w:r w:rsidRPr="00573509">
              <w:rPr>
                <w:rFonts w:ascii="Arial Narrow" w:hAnsi="Arial Narrow"/>
                <w:sz w:val="22"/>
                <w:szCs w:val="22"/>
              </w:rPr>
              <w:t>Ted is a member of the American Institute of Certified Public Accountants, the Tennessee Society of Certified Public Accountants, and the Government Finance Officer Association.  Ted is licensed in both Tennessee and North Carolina. His community involvement currently includes Rotary</w:t>
            </w:r>
            <w:r w:rsidR="007C49A2">
              <w:rPr>
                <w:rFonts w:ascii="Arial Narrow" w:hAnsi="Arial Narrow"/>
                <w:sz w:val="22"/>
                <w:szCs w:val="22"/>
              </w:rPr>
              <w:t xml:space="preserve"> (club president during 2017 fiscal year)</w:t>
            </w:r>
            <w:r w:rsidRPr="00573509">
              <w:rPr>
                <w:rFonts w:ascii="Arial Narrow" w:hAnsi="Arial Narrow"/>
                <w:sz w:val="22"/>
                <w:szCs w:val="22"/>
              </w:rPr>
              <w:t>, N</w:t>
            </w:r>
            <w:r w:rsidR="007C49A2">
              <w:rPr>
                <w:rFonts w:ascii="Arial Narrow" w:hAnsi="Arial Narrow"/>
                <w:sz w:val="22"/>
                <w:szCs w:val="22"/>
              </w:rPr>
              <w:t>ational Contract Management Association (N</w:t>
            </w:r>
            <w:r w:rsidRPr="00573509">
              <w:rPr>
                <w:rFonts w:ascii="Arial Narrow" w:hAnsi="Arial Narrow"/>
                <w:sz w:val="22"/>
                <w:szCs w:val="22"/>
              </w:rPr>
              <w:t>CMA</w:t>
            </w:r>
            <w:r w:rsidR="007C49A2">
              <w:rPr>
                <w:rFonts w:ascii="Arial Narrow" w:hAnsi="Arial Narrow"/>
                <w:sz w:val="22"/>
                <w:szCs w:val="22"/>
              </w:rPr>
              <w:t>)</w:t>
            </w:r>
            <w:r w:rsidRPr="00573509">
              <w:rPr>
                <w:rFonts w:ascii="Arial Narrow" w:hAnsi="Arial Narrow"/>
                <w:sz w:val="22"/>
                <w:szCs w:val="22"/>
              </w:rPr>
              <w:t xml:space="preserve"> (treasurer</w:t>
            </w:r>
            <w:r w:rsidR="007C49A2">
              <w:rPr>
                <w:rFonts w:ascii="Arial Narrow" w:hAnsi="Arial Narrow"/>
                <w:sz w:val="22"/>
                <w:szCs w:val="22"/>
              </w:rPr>
              <w:t xml:space="preserve"> of East Tennessee Chapter</w:t>
            </w:r>
            <w:r w:rsidRPr="00573509">
              <w:rPr>
                <w:rFonts w:ascii="Arial Narrow" w:hAnsi="Arial Narrow"/>
                <w:sz w:val="22"/>
                <w:szCs w:val="22"/>
              </w:rPr>
              <w:t>), church treasurer and youth baseball commissioner.</w:t>
            </w:r>
          </w:p>
          <w:p w:rsidR="00806615" w:rsidRPr="00573509" w:rsidRDefault="00806615" w:rsidP="00573509">
            <w:pPr>
              <w:spacing w:before="0" w:line="240" w:lineRule="atLeast"/>
              <w:rPr>
                <w:rFonts w:ascii="Arial Narrow" w:hAnsi="Arial Narrow"/>
                <w:sz w:val="22"/>
                <w:szCs w:val="22"/>
              </w:rPr>
            </w:pPr>
          </w:p>
        </w:tc>
      </w:tr>
    </w:tbl>
    <w:p w:rsidR="007E0A12" w:rsidRDefault="007E0A12"/>
    <w:sectPr w:rsidR="007E0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15"/>
    <w:rsid w:val="007C49A2"/>
    <w:rsid w:val="007E0A12"/>
    <w:rsid w:val="00806615"/>
    <w:rsid w:val="00E5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15"/>
    <w:pPr>
      <w:spacing w:before="240" w:after="0" w:line="240" w:lineRule="auto"/>
      <w:jc w:val="both"/>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7">
    <w:name w:val="Table Grid17"/>
    <w:basedOn w:val="TableNormal"/>
    <w:next w:val="TableGrid"/>
    <w:uiPriority w:val="99"/>
    <w:rsid w:val="00806615"/>
    <w:pPr>
      <w:spacing w:after="0" w:line="240" w:lineRule="auto"/>
      <w:jc w:val="both"/>
    </w:pPr>
    <w:rPr>
      <w:rFonts w:ascii="Arial" w:eastAsia="Times New Roman"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06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0D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0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15"/>
    <w:pPr>
      <w:spacing w:before="240" w:after="0" w:line="240" w:lineRule="auto"/>
      <w:jc w:val="both"/>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7">
    <w:name w:val="Table Grid17"/>
    <w:basedOn w:val="TableNormal"/>
    <w:next w:val="TableGrid"/>
    <w:uiPriority w:val="99"/>
    <w:rsid w:val="00806615"/>
    <w:pPr>
      <w:spacing w:after="0" w:line="240" w:lineRule="auto"/>
      <w:jc w:val="both"/>
    </w:pPr>
    <w:rPr>
      <w:rFonts w:ascii="Arial" w:eastAsia="Times New Roman"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06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0D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0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Newell-Rubbermaid</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Hotz, CPA</dc:creator>
  <cp:lastModifiedBy>Johnson, Joy</cp:lastModifiedBy>
  <cp:revision>2</cp:revision>
  <dcterms:created xsi:type="dcterms:W3CDTF">2019-05-10T16:23:00Z</dcterms:created>
  <dcterms:modified xsi:type="dcterms:W3CDTF">2019-05-10T16:23:00Z</dcterms:modified>
</cp:coreProperties>
</file>